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7601" w14:textId="77777777" w:rsidR="00867A3A" w:rsidRDefault="00000000">
      <w:pPr>
        <w:pStyle w:val="Nadpis1"/>
      </w:pPr>
      <w:r>
        <w:t>Všeobecné obchodné podmienky + Ochrana osobných údajov</w:t>
      </w:r>
    </w:p>
    <w:p w14:paraId="6FCDD030" w14:textId="77777777" w:rsidR="00867A3A" w:rsidRDefault="00000000">
      <w:r>
        <w:t>pre predaj jedál a nápojov prostredníctvom e-shopu cez QR kód</w:t>
      </w:r>
      <w:r>
        <w:br/>
        <w:t>Retro Ristorante / SPORT RETRO, s.r.o.</w:t>
      </w:r>
    </w:p>
    <w:p w14:paraId="45B8BABF" w14:textId="77777777" w:rsidR="00867A3A" w:rsidRDefault="00000000">
      <w:pPr>
        <w:pStyle w:val="Nadpis2"/>
      </w:pPr>
      <w:r>
        <w:t>1. Úvodné ustanovenia</w:t>
      </w:r>
    </w:p>
    <w:p w14:paraId="5AE10E39" w14:textId="77777777" w:rsidR="00867A3A" w:rsidRDefault="00000000">
      <w:r>
        <w:t>Tieto všeobecné obchodné podmienky (ďalej len „VOP“) upravujú právne vzťahy medzi:</w:t>
      </w:r>
      <w:r>
        <w:br/>
      </w:r>
      <w:r>
        <w:br/>
        <w:t>Prevádzkovateľom:</w:t>
      </w:r>
      <w:r>
        <w:br/>
        <w:t>SPORT RETRO, s.r.o.</w:t>
      </w:r>
      <w:r>
        <w:br/>
        <w:t>Sídlo: Nevädzová 6, 821 01 Bratislava</w:t>
      </w:r>
      <w:r>
        <w:br/>
        <w:t>IČO: 44747942</w:t>
      </w:r>
      <w:r>
        <w:br/>
        <w:t>DIČ: 2022819173</w:t>
      </w:r>
      <w:r>
        <w:br/>
        <w:t>IČ DPH: SK2022819173</w:t>
      </w:r>
      <w:r>
        <w:br/>
        <w:t>Zapísaná v OR Okresného súdu Bratislava I, oddiel: Sro, vložka č. 58481/B</w:t>
      </w:r>
      <w:r>
        <w:br/>
        <w:t>Prevádzka: Retro Ristorante, Nevädzová 6, Bratislava</w:t>
      </w:r>
      <w:r>
        <w:br/>
        <w:t>E-mail: rezervacie@retroristorante.sk</w:t>
      </w:r>
      <w:r>
        <w:br/>
        <w:t>Telefón: 0908 123 110</w:t>
      </w:r>
    </w:p>
    <w:p w14:paraId="06EB7C93" w14:textId="77777777" w:rsidR="00867A3A" w:rsidRDefault="00000000">
      <w:pPr>
        <w:pStyle w:val="Nadpis2"/>
      </w:pPr>
      <w:r>
        <w:t>2. Objednávanie cez QR kód</w:t>
      </w:r>
    </w:p>
    <w:p w14:paraId="1316BB0B" w14:textId="77777777" w:rsidR="00867A3A" w:rsidRDefault="00000000">
      <w:r>
        <w:t>• Objednávka sa realizuje prostredníctvom naskenovania QR kódu umiestneného na stole alebo v priestoroch reštaurácie.</w:t>
      </w:r>
      <w:r>
        <w:br/>
        <w:t>• Zákazník si vyberie jedlá/nápoje z elektronického menu, vloží ich do košíka a pokračuje k platbe.</w:t>
      </w:r>
      <w:r>
        <w:br/>
        <w:t>• Objednávka sa považuje za záväznú až po úspešnom uskutočnení online platby cez platobnú bránu.</w:t>
      </w:r>
      <w:r>
        <w:br/>
        <w:t>• Po potvrdení platby sa objednávka automaticky odošle na spracovanie do kuchyne.</w:t>
      </w:r>
    </w:p>
    <w:p w14:paraId="6A124BD7" w14:textId="77777777" w:rsidR="00867A3A" w:rsidRDefault="00000000">
      <w:pPr>
        <w:pStyle w:val="Nadpis2"/>
      </w:pPr>
      <w:r>
        <w:t>3. Ceny a platobné podmienky</w:t>
      </w:r>
    </w:p>
    <w:p w14:paraId="5AF475CF" w14:textId="77777777" w:rsidR="00867A3A" w:rsidRDefault="00000000">
      <w:r>
        <w:t>• Všetky ceny sú uvedené v eurách (€) a zahŕňajú DPH.</w:t>
      </w:r>
      <w:r>
        <w:br/>
        <w:t>• Platba je možná výlučne online prostredníctvom bezpečnej platobnej brány (napr. platobná karta, Google Pay, Apple Pay).</w:t>
      </w:r>
      <w:r>
        <w:br/>
        <w:t>• Objednávka nebude spracovaná, pokiaľ platba neprebehne úspešne.</w:t>
      </w:r>
      <w:r>
        <w:br/>
        <w:t>• Doklad o zaplatení je zaslaný zákazníkovi e-mailom alebo zobrazený po zaplatení.</w:t>
      </w:r>
    </w:p>
    <w:p w14:paraId="6F5865F4" w14:textId="77777777" w:rsidR="00867A3A" w:rsidRDefault="00000000">
      <w:pPr>
        <w:pStyle w:val="Nadpis2"/>
      </w:pPr>
      <w:r>
        <w:t>4. Dodanie objednávky (v reštaurácii)</w:t>
      </w:r>
    </w:p>
    <w:p w14:paraId="2D4C4717" w14:textId="77777777" w:rsidR="00867A3A" w:rsidRDefault="00000000">
      <w:r>
        <w:t>• Po prijatí a potvrdení platby je objednávka odovzdaná na prípravu.</w:t>
      </w:r>
      <w:r>
        <w:br/>
        <w:t>• Hotové jedlá a nápoje doručí obsluha priamo k stolu zákazníka.</w:t>
      </w:r>
      <w:r>
        <w:br/>
        <w:t>• Približný čas doručenia sa môže líšiť v závislosti od vyťaženosti kuchyne.</w:t>
      </w:r>
    </w:p>
    <w:p w14:paraId="62500429" w14:textId="77777777" w:rsidR="00867A3A" w:rsidRDefault="00000000">
      <w:pPr>
        <w:pStyle w:val="Nadpis2"/>
      </w:pPr>
      <w:r>
        <w:t>5. Storno a zmeny objednávky</w:t>
      </w:r>
    </w:p>
    <w:p w14:paraId="32BC8BB0" w14:textId="77777777" w:rsidR="00867A3A" w:rsidRDefault="00000000">
      <w:r>
        <w:t>• Objednávku je možné zrušiť len bezprostredne po jej vytvorení, pred začatím prípravy – kontaktovaním obsluhy.</w:t>
      </w:r>
      <w:r>
        <w:br/>
      </w:r>
      <w:r>
        <w:lastRenderedPageBreak/>
        <w:t>• Po začatí prípravy nie je možné objednávku zrušiť ani meniť.</w:t>
      </w:r>
      <w:r>
        <w:br/>
        <w:t xml:space="preserve">• V prípade zrušenia objednávky alebo uznanej reklamácie bude zákazníkovi vrátená uhradená suma rovnakým spôsobom, aký použil pri platbe, pokiaľ sa nedohodneme inak. </w:t>
      </w:r>
      <w:r>
        <w:br/>
        <w:t xml:space="preserve">  Vrátenie peňazí bude uskutočnené najneskôr do 14 kalendárnych dní odo dňa potvrdenia storna alebo uznania reklamácie.</w:t>
      </w:r>
    </w:p>
    <w:p w14:paraId="06479CE8" w14:textId="77777777" w:rsidR="00867A3A" w:rsidRDefault="00000000">
      <w:pPr>
        <w:pStyle w:val="Nadpis2"/>
      </w:pPr>
      <w:r>
        <w:t>6. Reklamácie a zodpovednosť za chyby</w:t>
      </w:r>
    </w:p>
    <w:p w14:paraId="045B2C14" w14:textId="77777777" w:rsidR="00867A3A" w:rsidRDefault="00000000">
      <w:r>
        <w:t>• Reklamácie je potrebné uplatniť okamžite po doručení jedla.</w:t>
      </w:r>
      <w:r>
        <w:br/>
        <w:t>• Reklamácia sa rieši výmenou, opravou objednávky alebo primeranou kompenzáciou.</w:t>
      </w:r>
      <w:r>
        <w:br/>
        <w:t>• V prípade uznanej reklamácie sa finančné prostriedky vracajú zákazníkovi rovnakým spôsobom, aký použil pri úhrade, najneskôr do 14 dní od schválenia reklamácie.</w:t>
      </w:r>
      <w:r>
        <w:br/>
        <w:t>• Prevádzkovateľ nezodpovedá za chyby spôsobené nesprávnym zadaním údajov pri objednávke zákazníkom.</w:t>
      </w:r>
    </w:p>
    <w:p w14:paraId="38B6ACCB" w14:textId="77777777" w:rsidR="00867A3A" w:rsidRDefault="00000000">
      <w:pPr>
        <w:pStyle w:val="Nadpis2"/>
      </w:pPr>
      <w:r>
        <w:t>7. Ochrana osobných údajov (GDPR)</w:t>
      </w:r>
    </w:p>
    <w:p w14:paraId="530FC40F" w14:textId="77777777" w:rsidR="00867A3A" w:rsidRDefault="00000000">
      <w:r>
        <w:t xml:space="preserve">Prevádzkovateľ spracúva osobné údaje zákazníkov v súlade s Nariadením Európskeho parlamentu a Rady (EÚ) 2016/679 (GDPR) </w:t>
      </w:r>
      <w:r>
        <w:br/>
        <w:t>a zákonom č. 18/2018 Z. z. o ochrane osobných údajov.</w:t>
      </w:r>
    </w:p>
    <w:p w14:paraId="1EE144E6" w14:textId="77777777" w:rsidR="00867A3A" w:rsidRDefault="00000000">
      <w:pPr>
        <w:pStyle w:val="Nadpis2"/>
      </w:pPr>
      <w:r>
        <w:t>8. Záverečné ustanovenia</w:t>
      </w:r>
    </w:p>
    <w:p w14:paraId="431CF00A" w14:textId="77777777" w:rsidR="00867A3A" w:rsidRDefault="00000000">
      <w:r>
        <w:t>• Tieto obchodné podmienky sú platné od dňa ich zverejnenia.</w:t>
      </w:r>
      <w:r>
        <w:br/>
        <w:t>• Prevádzkovateľ si vyhradzuje právo na ich zmenu.</w:t>
      </w:r>
      <w:r>
        <w:br/>
        <w:t>• Právne vzťahy sa riadia právnym poriadkom Slovenskej republiky.</w:t>
      </w:r>
    </w:p>
    <w:p w14:paraId="48318A39" w14:textId="77777777" w:rsidR="00867A3A" w:rsidRDefault="00000000">
      <w:pPr>
        <w:pStyle w:val="Nadpis3"/>
      </w:pPr>
      <w:r>
        <w:t>Alternatívne riešenie sporov</w:t>
      </w:r>
    </w:p>
    <w:p w14:paraId="2F907756" w14:textId="4297AE2E" w:rsidR="00867A3A" w:rsidRDefault="00000000">
      <w:r>
        <w:t xml:space="preserve">Spotrebiteľ má právo obrátiť sa na predávajúceho so žiadosťou o nápravu (e-mailom alebo písomne), ak nie je spokojný so spôsobom, akým predávajúci vybavil jeho reklamáciu, </w:t>
      </w:r>
      <w:r>
        <w:br/>
        <w:t>alebo ak sa domnieva, že predávajúci porušil jeho spotrebiteľské práva.</w:t>
      </w:r>
      <w:r>
        <w:br/>
      </w:r>
      <w:r>
        <w:br/>
        <w:t>Ak predávajúci na žiadosť o nápravu odpovie zamietavo alebo na ňu neodpovie do 30 dní od jej odoslania, spotrebiteľ má právo podať návrh na začatie alternatívneho riešenia sporov.</w:t>
      </w:r>
      <w:r>
        <w:br/>
      </w:r>
      <w:r>
        <w:br/>
        <w:t>Príslušným subjektom alternatívneho riešenia spotrebiteľských sporov je:</w:t>
      </w:r>
      <w:r>
        <w:br/>
      </w:r>
      <w:r>
        <w:br/>
        <w:t>Slovenská obchodná inšpekcia (SOI)</w:t>
      </w:r>
      <w:r>
        <w:br/>
        <w:t>Ústredný inšpektorát SOI</w:t>
      </w:r>
      <w:r>
        <w:br/>
        <w:t>Odbor medzinárodných vzťahov a alternatívneho riešenia sporov</w:t>
      </w:r>
      <w:r>
        <w:br/>
        <w:t>Bajkalská 21/A, P.O. BOX 29, 827 99 Bratislava 27</w:t>
      </w:r>
      <w:r>
        <w:br/>
        <w:t>Web: https://www.soi.sk</w:t>
      </w:r>
      <w:r>
        <w:br/>
      </w:r>
      <w:r>
        <w:br/>
      </w:r>
    </w:p>
    <w:sectPr w:rsidR="00867A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252378">
    <w:abstractNumId w:val="8"/>
  </w:num>
  <w:num w:numId="2" w16cid:durableId="1558125455">
    <w:abstractNumId w:val="6"/>
  </w:num>
  <w:num w:numId="3" w16cid:durableId="1740859475">
    <w:abstractNumId w:val="5"/>
  </w:num>
  <w:num w:numId="4" w16cid:durableId="1603029257">
    <w:abstractNumId w:val="4"/>
  </w:num>
  <w:num w:numId="5" w16cid:durableId="376051291">
    <w:abstractNumId w:val="7"/>
  </w:num>
  <w:num w:numId="6" w16cid:durableId="1326086306">
    <w:abstractNumId w:val="3"/>
  </w:num>
  <w:num w:numId="7" w16cid:durableId="1865823101">
    <w:abstractNumId w:val="2"/>
  </w:num>
  <w:num w:numId="8" w16cid:durableId="401098665">
    <w:abstractNumId w:val="1"/>
  </w:num>
  <w:num w:numId="9" w16cid:durableId="2678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37C"/>
    <w:rsid w:val="0006063C"/>
    <w:rsid w:val="0015074B"/>
    <w:rsid w:val="00254475"/>
    <w:rsid w:val="0029639D"/>
    <w:rsid w:val="00326F90"/>
    <w:rsid w:val="00867A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9B317"/>
  <w14:defaultImageDpi w14:val="300"/>
  <w15:docId w15:val="{E4A22283-F5EB-4C38-B01E-371884E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USERNB05</cp:lastModifiedBy>
  <cp:revision>2</cp:revision>
  <dcterms:created xsi:type="dcterms:W3CDTF">2025-11-13T13:08:00Z</dcterms:created>
  <dcterms:modified xsi:type="dcterms:W3CDTF">2025-11-13T13:08:00Z</dcterms:modified>
  <cp:category/>
</cp:coreProperties>
</file>